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B808" w14:textId="0BE9FA34" w:rsidR="00A51E45" w:rsidRPr="00851DF8" w:rsidRDefault="00364E6D">
      <w:pPr>
        <w:rPr>
          <w:rFonts w:ascii="Arial" w:eastAsia="Times New Roman" w:hAnsi="Arial" w:cs="Arial"/>
          <w:b/>
          <w:bCs/>
          <w:sz w:val="24"/>
          <w:szCs w:val="24"/>
          <w:lang w:eastAsia="pl-PL"/>
        </w:rPr>
      </w:pPr>
      <w:r w:rsidRPr="00851DF8">
        <w:rPr>
          <w:rFonts w:ascii="Arial" w:eastAsia="Times New Roman" w:hAnsi="Arial" w:cs="Arial"/>
          <w:b/>
          <w:bCs/>
          <w:sz w:val="24"/>
          <w:szCs w:val="24"/>
          <w:lang w:eastAsia="pl-PL"/>
        </w:rPr>
        <w:t>Priorytety wydatkowania środków KFS w 2025 roku</w:t>
      </w:r>
    </w:p>
    <w:p w14:paraId="1CA17FA4" w14:textId="77777777" w:rsidR="00364E6D" w:rsidRDefault="00364E6D">
      <w:pPr>
        <w:rPr>
          <w:rFonts w:ascii="Arial" w:eastAsia="Times New Roman" w:hAnsi="Arial" w:cs="Arial"/>
          <w:sz w:val="24"/>
          <w:szCs w:val="24"/>
          <w:lang w:eastAsia="pl-PL"/>
        </w:rPr>
      </w:pPr>
    </w:p>
    <w:p w14:paraId="5626595F" w14:textId="77777777" w:rsidR="00364E6D" w:rsidRDefault="00364E6D" w:rsidP="00364E6D">
      <w:pPr>
        <w:spacing w:after="0" w:line="240" w:lineRule="auto"/>
      </w:pPr>
      <w:r>
        <w:rPr>
          <w:rFonts w:ascii="Arial" w:eastAsia="Times New Roman" w:hAnsi="Arial" w:cs="Arial"/>
          <w:sz w:val="24"/>
          <w:szCs w:val="24"/>
          <w:lang w:eastAsia="pl-PL"/>
        </w:rPr>
        <w:t> </w:t>
      </w:r>
      <w:r>
        <w:rPr>
          <w:rFonts w:ascii="Arial" w:eastAsia="Times New Roman" w:hAnsi="Arial" w:cs="Arial"/>
          <w:b/>
          <w:bCs/>
          <w:sz w:val="24"/>
          <w:szCs w:val="24"/>
          <w:lang w:eastAsia="pl-PL"/>
        </w:rPr>
        <w:t xml:space="preserve">Priorytet 1. – </w:t>
      </w:r>
      <w:r>
        <w:rPr>
          <w:rFonts w:ascii="Arial" w:eastAsia="Times New Roman" w:hAnsi="Arial" w:cs="Arial"/>
          <w:b/>
          <w:bCs/>
          <w:color w:val="000000" w:themeColor="text1"/>
          <w:sz w:val="24"/>
          <w:szCs w:val="24"/>
          <w:lang w:eastAsia="pl-PL"/>
        </w:rPr>
        <w:t xml:space="preserve"> Wsparcie rozwoju umiejętności i kwalifikacji w zawodach określonych jako deficytowe na danym terenie tj. w powiecie czy województwie </w:t>
      </w:r>
    </w:p>
    <w:p w14:paraId="183F80DC" w14:textId="77777777" w:rsidR="00364E6D" w:rsidRDefault="00364E6D" w:rsidP="00364E6D">
      <w:pPr>
        <w:spacing w:after="0" w:line="240" w:lineRule="auto"/>
        <w:rPr>
          <w:rFonts w:ascii="Arial" w:eastAsia="Times New Roman" w:hAnsi="Arial" w:cs="Arial"/>
          <w:sz w:val="24"/>
          <w:szCs w:val="24"/>
          <w:lang w:eastAsia="pl-PL"/>
        </w:rPr>
      </w:pPr>
    </w:p>
    <w:p w14:paraId="573F2840" w14:textId="05464113" w:rsidR="00364E6D" w:rsidRDefault="00364E6D" w:rsidP="00364E6D">
      <w:pPr>
        <w:spacing w:after="0" w:line="240" w:lineRule="auto"/>
      </w:pPr>
      <w:r>
        <w:rPr>
          <w:rFonts w:ascii="Arial" w:eastAsia="Times New Roman" w:hAnsi="Arial" w:cs="Arial"/>
          <w:sz w:val="24"/>
          <w:szCs w:val="24"/>
          <w:lang w:eastAsia="pl-PL"/>
        </w:rPr>
        <w:t>Składając wniosek o dofinansowanie kosztów kształcenia ustawicznego ze środków KFS w ramach priorytetu drugiego należy wykazać, że wnioskowana forma kształcenia ustawicznego dotyczy zawodu deficytowego na terenie m. Zamość, powiatu zamojskiego bądź województwa lubelskiego.</w:t>
      </w:r>
      <w:r>
        <w:rPr>
          <w:rFonts w:ascii="Arial" w:eastAsia="Times New Roman" w:hAnsi="Arial" w:cs="Arial"/>
          <w:sz w:val="24"/>
          <w:szCs w:val="24"/>
          <w:lang w:eastAsia="pl-PL"/>
        </w:rPr>
        <w:br/>
        <w:t xml:space="preserve">Oznacza to zawód zidentyfikowany jako deficytowy w oparciu o Barometr zawodów na 2025 rok </w:t>
      </w:r>
      <w:hyperlink r:id="rId5" w:history="1">
        <w:r w:rsidR="000407AF" w:rsidRPr="002C5C0E">
          <w:rPr>
            <w:rStyle w:val="Hipercze"/>
            <w:rFonts w:ascii="Arial" w:hAnsi="Arial" w:cs="Arial"/>
            <w:sz w:val="24"/>
            <w:szCs w:val="24"/>
            <w:lang w:eastAsia="pl-PL"/>
          </w:rPr>
          <w:t>https://barometrzawodow.pl</w:t>
        </w:r>
      </w:hyperlink>
      <w:r>
        <w:rPr>
          <w:rFonts w:ascii="Arial" w:eastAsia="Times New Roman" w:hAnsi="Arial" w:cs="Arial"/>
          <w:sz w:val="24"/>
          <w:szCs w:val="24"/>
          <w:lang w:eastAsia="pl-PL"/>
        </w:rPr>
        <w:br/>
        <w:t> </w:t>
      </w:r>
    </w:p>
    <w:p w14:paraId="2CF7FF29" w14:textId="77777777" w:rsidR="00364E6D" w:rsidRDefault="00364E6D" w:rsidP="00364E6D">
      <w:pPr>
        <w:spacing w:after="0" w:line="240" w:lineRule="auto"/>
        <w:rPr>
          <w:sz w:val="24"/>
          <w:szCs w:val="24"/>
        </w:rPr>
      </w:pPr>
      <w:r>
        <w:rPr>
          <w:rFonts w:ascii="Arial" w:eastAsia="Times New Roman" w:hAnsi="Arial" w:cs="Arial"/>
          <w:b/>
          <w:bCs/>
          <w:sz w:val="24"/>
          <w:szCs w:val="24"/>
          <w:lang w:eastAsia="pl-PL"/>
        </w:rPr>
        <w:t xml:space="preserve">Priorytet 2. - </w:t>
      </w:r>
      <w:r>
        <w:rPr>
          <w:rFonts w:ascii="Arial" w:eastAsia="Times New Roman" w:hAnsi="Arial" w:cs="Arial"/>
          <w:b/>
          <w:bCs/>
          <w:color w:val="000000" w:themeColor="text1"/>
          <w:sz w:val="24"/>
          <w:szCs w:val="24"/>
          <w:lang w:eastAsia="pl-PL"/>
        </w:rPr>
        <w:t>Wsparcie rozwoju umiejętności i kwalifikacji w związku z zastosowaniem w firmach nowych procesów, technologii i narzędzi pracy</w:t>
      </w:r>
    </w:p>
    <w:p w14:paraId="41048E8D" w14:textId="77777777" w:rsidR="00364E6D" w:rsidRDefault="00364E6D" w:rsidP="00364E6D">
      <w:pPr>
        <w:spacing w:after="0" w:line="240" w:lineRule="auto"/>
        <w:rPr>
          <w:rFonts w:ascii="Arial" w:eastAsia="Times New Roman" w:hAnsi="Arial" w:cs="Arial"/>
          <w:sz w:val="24"/>
          <w:szCs w:val="24"/>
          <w:lang w:eastAsia="pl-PL"/>
        </w:rPr>
      </w:pPr>
    </w:p>
    <w:p w14:paraId="66DD9C13" w14:textId="77777777" w:rsidR="00364E6D" w:rsidRDefault="00364E6D" w:rsidP="00364E6D">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Wnioskodawca powinien udokumentować wprowadzone lub planowane do wprowadzenia zmiany w szczególności poprzez np. przedłożenie kopii dokumentów zakupu, decyzji dyrektora/zarządu o wprowadzeniu norm ISO, itp., oraz logicznego i wiarygodnego uzasadnienia.</w:t>
      </w:r>
      <w:r>
        <w:rPr>
          <w:rFonts w:ascii="Arial" w:eastAsia="Times New Roman" w:hAnsi="Arial" w:cs="Arial"/>
          <w:sz w:val="24"/>
          <w:szCs w:val="24"/>
          <w:lang w:eastAsia="pl-PL"/>
        </w:rPr>
        <w:b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5EB97179" w14:textId="77777777" w:rsidR="00364E6D" w:rsidRDefault="00364E6D" w:rsidP="00364E6D">
      <w:pPr>
        <w:spacing w:after="0" w:line="240" w:lineRule="auto"/>
        <w:rPr>
          <w:rFonts w:ascii="Arial" w:eastAsia="Times New Roman" w:hAnsi="Arial" w:cs="Arial"/>
          <w:b/>
          <w:bCs/>
          <w:color w:val="000000" w:themeColor="text1"/>
          <w:sz w:val="24"/>
          <w:szCs w:val="24"/>
          <w:lang w:eastAsia="pl-PL"/>
        </w:rPr>
      </w:pPr>
    </w:p>
    <w:p w14:paraId="0B43105E" w14:textId="77777777" w:rsidR="00364E6D" w:rsidRDefault="00364E6D" w:rsidP="00364E6D">
      <w:pPr>
        <w:spacing w:after="0" w:line="240" w:lineRule="auto"/>
        <w:rPr>
          <w:rFonts w:ascii="Arial" w:eastAsia="Times New Roman" w:hAnsi="Arial" w:cs="Arial"/>
          <w:sz w:val="24"/>
          <w:szCs w:val="24"/>
          <w:lang w:eastAsia="pl-PL"/>
        </w:rPr>
      </w:pPr>
      <w:r>
        <w:rPr>
          <w:rFonts w:ascii="Arial" w:eastAsia="Times New Roman" w:hAnsi="Arial" w:cs="Arial"/>
          <w:b/>
          <w:bCs/>
          <w:color w:val="000000" w:themeColor="text1"/>
          <w:sz w:val="24"/>
          <w:szCs w:val="24"/>
          <w:lang w:eastAsia="pl-PL"/>
        </w:rPr>
        <w:t xml:space="preserve">Priorytet nr 3. Wsparcie kształcenia ustawicznego pracodawców i ich pracowników </w:t>
      </w:r>
      <w:r>
        <w:rPr>
          <w:rFonts w:ascii="Arial" w:hAnsi="Arial"/>
          <w:b/>
          <w:bCs/>
          <w:color w:val="000000" w:themeColor="text1"/>
          <w:sz w:val="24"/>
          <w:szCs w:val="24"/>
        </w:rPr>
        <w:t>zgodnie z potrzebami szkoleniowymi, które pojawiły się na terenach dotkniętych przez powódź we wrześniu 2024 roku.</w:t>
      </w:r>
    </w:p>
    <w:p w14:paraId="26D79EB9" w14:textId="77777777" w:rsidR="00364E6D" w:rsidRDefault="00364E6D" w:rsidP="00364E6D">
      <w:pPr>
        <w:spacing w:after="0" w:line="240" w:lineRule="auto"/>
        <w:rPr>
          <w:rFonts w:ascii="Arial" w:hAnsi="Arial"/>
          <w:b/>
          <w:bCs/>
          <w:color w:val="000000" w:themeColor="text1"/>
          <w:sz w:val="24"/>
          <w:szCs w:val="24"/>
        </w:rPr>
      </w:pPr>
    </w:p>
    <w:p w14:paraId="38F0D801"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 xml:space="preserve">Priorytet powyższy oferuje wsparcie pracodawcom prowadzącym działalność na terenach, na których obowiązuje rozporządzenie Rady Ministrów z 16 września 2024 roku w sprawie wykazu gmin, w których są stosowane szczególne rozwiązania związane z usuwaniem skutków powodzi z września 2024 r., oraz rozwiązań stosowanych na ich terenie (Dz. U. 2024 </w:t>
      </w:r>
      <w:r>
        <w:rPr>
          <w:rFonts w:ascii="Arial" w:eastAsia="Times New Roman" w:hAnsi="Arial" w:cs="Arial"/>
          <w:color w:val="000000" w:themeColor="text1"/>
          <w:sz w:val="24"/>
          <w:szCs w:val="24"/>
          <w:lang w:eastAsia="pl-PL"/>
        </w:rPr>
        <w:t>poz. 1371).</w:t>
      </w:r>
      <w:r>
        <w:rPr>
          <w:rFonts w:ascii="Arial" w:eastAsia="Times New Roman" w:hAnsi="Arial" w:cs="Arial"/>
          <w:sz w:val="24"/>
          <w:szCs w:val="24"/>
          <w:lang w:eastAsia="pl-PL"/>
        </w:rPr>
        <w:br/>
      </w:r>
    </w:p>
    <w:p w14:paraId="0A9B6C11" w14:textId="77777777" w:rsidR="00364E6D" w:rsidRDefault="00364E6D" w:rsidP="00364E6D">
      <w:pPr>
        <w:spacing w:after="0" w:line="240" w:lineRule="auto"/>
        <w:rPr>
          <w:rFonts w:ascii="Arial" w:hAnsi="Arial"/>
          <w:sz w:val="24"/>
          <w:szCs w:val="24"/>
        </w:rPr>
      </w:pPr>
      <w:r>
        <w:rPr>
          <w:rFonts w:ascii="Arial" w:hAnsi="Arial"/>
          <w:b/>
          <w:bCs/>
          <w:color w:val="000000" w:themeColor="text1"/>
          <w:sz w:val="24"/>
          <w:szCs w:val="24"/>
        </w:rPr>
        <w:t xml:space="preserve">Priorytet nr 4. Poprawa zarządzania i komunikacji w firmie w oparciu o zasady przeciwdziałania dyskryminacji i </w:t>
      </w:r>
      <w:proofErr w:type="spellStart"/>
      <w:r>
        <w:rPr>
          <w:rFonts w:ascii="Arial" w:hAnsi="Arial"/>
          <w:b/>
          <w:bCs/>
          <w:color w:val="000000" w:themeColor="text1"/>
          <w:sz w:val="24"/>
          <w:szCs w:val="24"/>
        </w:rPr>
        <w:t>mobbingowi</w:t>
      </w:r>
      <w:proofErr w:type="spellEnd"/>
      <w:r>
        <w:rPr>
          <w:rFonts w:ascii="Arial" w:hAnsi="Arial"/>
          <w:b/>
          <w:bCs/>
          <w:color w:val="000000" w:themeColor="text1"/>
          <w:sz w:val="24"/>
          <w:szCs w:val="24"/>
        </w:rPr>
        <w:t>, rozwoju dialogu społecznego, partycypacji pracowniczej i wspierania integracji w miejscu pracy</w:t>
      </w:r>
    </w:p>
    <w:p w14:paraId="078D8984" w14:textId="77777777" w:rsidR="00364E6D" w:rsidRDefault="00364E6D" w:rsidP="00364E6D">
      <w:pPr>
        <w:spacing w:after="0" w:line="240" w:lineRule="auto"/>
        <w:rPr>
          <w:rFonts w:ascii="Arial" w:hAnsi="Arial"/>
          <w:b/>
          <w:bCs/>
          <w:color w:val="000000" w:themeColor="text1"/>
          <w:sz w:val="24"/>
          <w:szCs w:val="24"/>
        </w:rPr>
      </w:pPr>
    </w:p>
    <w:p w14:paraId="5BE14F6A" w14:textId="77777777" w:rsidR="00364E6D" w:rsidRDefault="00364E6D" w:rsidP="00364E6D">
      <w:pPr>
        <w:spacing w:after="0" w:line="240" w:lineRule="auto"/>
        <w:rPr>
          <w:rFonts w:ascii="Arial" w:hAnsi="Arial"/>
          <w:sz w:val="24"/>
          <w:szCs w:val="24"/>
        </w:rPr>
      </w:pPr>
      <w:proofErr w:type="spellStart"/>
      <w:r>
        <w:rPr>
          <w:rFonts w:ascii="Arial" w:hAnsi="Arial"/>
          <w:color w:val="000000" w:themeColor="text1"/>
          <w:sz w:val="24"/>
          <w:szCs w:val="24"/>
        </w:rPr>
        <w:t>Mobbing</w:t>
      </w:r>
      <w:proofErr w:type="spellEnd"/>
      <w:r>
        <w:rPr>
          <w:rFonts w:ascii="Arial" w:hAnsi="Arial"/>
          <w:color w:val="000000" w:themeColor="text1"/>
          <w:sz w:val="24"/>
          <w:szCs w:val="24"/>
        </w:rPr>
        <w:t xml:space="preserve">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w:t>
      </w:r>
      <w:r>
        <w:rPr>
          <w:rFonts w:ascii="Arial" w:hAnsi="Arial"/>
          <w:color w:val="000000" w:themeColor="text1"/>
          <w:sz w:val="24"/>
          <w:szCs w:val="24"/>
        </w:rPr>
        <w:lastRenderedPageBreak/>
        <w:t xml:space="preserve">możliwe jest wykształcenie umiejętności identyfikowania oraz reagowania na </w:t>
      </w:r>
      <w:proofErr w:type="spellStart"/>
      <w:r>
        <w:rPr>
          <w:rFonts w:ascii="Arial" w:hAnsi="Arial"/>
          <w:color w:val="000000" w:themeColor="text1"/>
          <w:sz w:val="24"/>
          <w:szCs w:val="24"/>
        </w:rPr>
        <w:t>mobbing</w:t>
      </w:r>
      <w:proofErr w:type="spellEnd"/>
      <w:r>
        <w:rPr>
          <w:rFonts w:ascii="Arial" w:hAnsi="Arial"/>
          <w:color w:val="000000" w:themeColor="text1"/>
          <w:sz w:val="24"/>
          <w:szCs w:val="24"/>
        </w:rPr>
        <w:t xml:space="preserve"> i dyskryminację na każdym szczeblu organizacyjnym, co przyczynia się do budowania kultur organizacyjnych opartych na szacunku i równości.</w:t>
      </w:r>
    </w:p>
    <w:p w14:paraId="6DB073C4"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Szkolenia powinny zatem zawierać tematykę, w ramach której pracodawcy i pracownicy zostaną wyposażeni w wiedzę i umiejętności m.in.:</w:t>
      </w:r>
    </w:p>
    <w:p w14:paraId="25561360"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do rozpoznawania, rozumienia i przeciwdziałania </w:t>
      </w:r>
      <w:proofErr w:type="spellStart"/>
      <w:r>
        <w:rPr>
          <w:rFonts w:ascii="Arial" w:hAnsi="Arial"/>
          <w:color w:val="000000" w:themeColor="text1"/>
          <w:sz w:val="24"/>
          <w:szCs w:val="24"/>
        </w:rPr>
        <w:t>mobbingowi</w:t>
      </w:r>
      <w:proofErr w:type="spellEnd"/>
      <w:r>
        <w:rPr>
          <w:rFonts w:ascii="Arial" w:hAnsi="Arial"/>
          <w:color w:val="000000" w:themeColor="text1"/>
          <w:sz w:val="24"/>
          <w:szCs w:val="24"/>
        </w:rPr>
        <w:t xml:space="preserve"> w miejscu pracy, co zwiększy ich uważność na sposób komunikacji i budowania relacji w ich zespołach,</w:t>
      </w:r>
    </w:p>
    <w:p w14:paraId="72321660"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dotyczące różnych formy </w:t>
      </w:r>
      <w:proofErr w:type="spellStart"/>
      <w:r>
        <w:rPr>
          <w:rFonts w:ascii="Arial" w:hAnsi="Arial"/>
          <w:color w:val="000000" w:themeColor="text1"/>
          <w:sz w:val="24"/>
          <w:szCs w:val="24"/>
        </w:rPr>
        <w:t>mobbing</w:t>
      </w:r>
      <w:proofErr w:type="spellEnd"/>
      <w:r>
        <w:rPr>
          <w:rFonts w:ascii="Arial" w:hAnsi="Arial"/>
          <w:color w:val="000000" w:themeColor="text1"/>
          <w:sz w:val="24"/>
          <w:szCs w:val="24"/>
        </w:rPr>
        <w:t xml:space="preserve">, jak zrozumieć jego wpływ na zespół oraz jak skutecznie reagować i zapobiegać sytuacjom o charakterze </w:t>
      </w:r>
      <w:proofErr w:type="spellStart"/>
      <w:r>
        <w:rPr>
          <w:rFonts w:ascii="Arial" w:hAnsi="Arial"/>
          <w:color w:val="000000" w:themeColor="text1"/>
          <w:sz w:val="24"/>
          <w:szCs w:val="24"/>
        </w:rPr>
        <w:t>mobbing</w:t>
      </w:r>
      <w:proofErr w:type="spellEnd"/>
      <w:r>
        <w:rPr>
          <w:rFonts w:ascii="Arial" w:hAnsi="Arial"/>
          <w:color w:val="000000" w:themeColor="text1"/>
          <w:sz w:val="24"/>
          <w:szCs w:val="24"/>
        </w:rPr>
        <w:t xml:space="preserve"> w przyszłości,</w:t>
      </w:r>
    </w:p>
    <w:p w14:paraId="06914C2D"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rozpoznawania/uważności (szczególnie menedżerowie/pracodawcy) na zachowania  i relacje w zespołach.</w:t>
      </w:r>
    </w:p>
    <w:p w14:paraId="0F241206"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do promowania bezpiecznego i wspierającego środowiska pracy,</w:t>
      </w:r>
    </w:p>
    <w:p w14:paraId="75D42214"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na temat skutków społecznych i prawnych </w:t>
      </w:r>
      <w:proofErr w:type="spellStart"/>
      <w:r>
        <w:rPr>
          <w:rFonts w:ascii="Arial" w:hAnsi="Arial"/>
          <w:color w:val="000000" w:themeColor="text1"/>
          <w:sz w:val="24"/>
          <w:szCs w:val="24"/>
        </w:rPr>
        <w:t>mobbing</w:t>
      </w:r>
      <w:proofErr w:type="spellEnd"/>
      <w:r>
        <w:rPr>
          <w:rFonts w:ascii="Arial" w:hAnsi="Arial"/>
          <w:color w:val="000000" w:themeColor="text1"/>
          <w:sz w:val="24"/>
          <w:szCs w:val="24"/>
        </w:rPr>
        <w:t xml:space="preserve"> lub dyskryminacji,</w:t>
      </w:r>
    </w:p>
    <w:p w14:paraId="662C586B" w14:textId="77777777" w:rsidR="00364E6D" w:rsidRDefault="00364E6D" w:rsidP="00364E6D">
      <w:pPr>
        <w:spacing w:after="0" w:line="240" w:lineRule="auto"/>
        <w:rPr>
          <w:rFonts w:ascii="Arial" w:hAnsi="Arial"/>
          <w:color w:val="000000" w:themeColor="text1"/>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dotyczące wdrażania procedur przeciwdziałania i reagowania na przypadki nieprawidłowości.</w:t>
      </w:r>
    </w:p>
    <w:p w14:paraId="4E48E427" w14:textId="77777777" w:rsidR="00364E6D" w:rsidRDefault="00364E6D" w:rsidP="00364E6D">
      <w:pPr>
        <w:spacing w:after="0" w:line="240" w:lineRule="auto"/>
        <w:rPr>
          <w:rFonts w:ascii="Arial" w:hAnsi="Arial"/>
          <w:sz w:val="24"/>
          <w:szCs w:val="24"/>
        </w:rPr>
      </w:pPr>
    </w:p>
    <w:p w14:paraId="5D65797E"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w:t>
      </w:r>
    </w:p>
    <w:p w14:paraId="18F2C200"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Priorytet ten ma również zachęcać do tworzenia i oferuje wsparcie w zakresie zasad funkcjonowania i działania rad pracowniczych – na poziomie unijnym i poszczególnych krajów UE. Ma pomóc znaleźć odpowiedź na pytanie jak promować reprezentację pracowniczą w postaci rad pracowniczych w Polsce. W obliczu wymogu prawnego (ustawa z dnia 7 kwietnia 2006 r</w:t>
      </w:r>
      <w:r>
        <w:rPr>
          <w:rFonts w:ascii="Arial" w:hAnsi="Arial"/>
          <w:i/>
          <w:iCs/>
          <w:color w:val="000000" w:themeColor="text1"/>
          <w:sz w:val="24"/>
          <w:szCs w:val="24"/>
        </w:rPr>
        <w:t xml:space="preserve">. o informowaniu pracowników i przeprowadzaniu z nimi konsultacji </w:t>
      </w:r>
      <w:r>
        <w:rPr>
          <w:rFonts w:ascii="Arial" w:hAnsi="Arial"/>
          <w:color w:val="000000" w:themeColor="text1"/>
          <w:sz w:val="24"/>
          <w:szCs w:val="24"/>
        </w:rPr>
        <w:t>(Dz.U. nr 79, poz. 550) powołania Rady Pracowników przez pracodawców zatrudniających co najmniej 50 pracowników lub na wniosek co najmniej 10% załogi, staje się jasne, jak kluczowe jest prawidłowe funkcjonowanie tych organów. Rady Pracowników pełnią istotną rolę w zapewnianiu płynności komunikacji pomiędzy pracownikami a pracodawcą, szczególnie w przypadkach, gdzie związki zawodowe nie są obecne.</w:t>
      </w:r>
    </w:p>
    <w:p w14:paraId="34092AB4"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Priorytet adresowany do wszystkich zainteresowanych pracodawców. Nie ma znaczenia kod PKD czy profil działalności. Zachęca do tworzenia i oferuje wsparcie w zakresie zasad funkcjonowania i działania rad pracowniczych – na poziomie unijnym i poszczególnych krajów UE.</w:t>
      </w:r>
    </w:p>
    <w:p w14:paraId="5EB817C7" w14:textId="77777777" w:rsidR="00364E6D" w:rsidRDefault="00364E6D" w:rsidP="00364E6D">
      <w:pPr>
        <w:spacing w:after="0" w:line="240" w:lineRule="auto"/>
        <w:rPr>
          <w:color w:val="000000" w:themeColor="text1"/>
        </w:rPr>
      </w:pPr>
    </w:p>
    <w:p w14:paraId="577505B5" w14:textId="77777777" w:rsidR="00364E6D" w:rsidRDefault="00364E6D" w:rsidP="00364E6D">
      <w:pPr>
        <w:spacing w:after="0" w:line="240" w:lineRule="auto"/>
        <w:rPr>
          <w:rFonts w:ascii="Arial" w:hAnsi="Arial"/>
          <w:sz w:val="24"/>
          <w:szCs w:val="24"/>
        </w:rPr>
      </w:pPr>
      <w:r>
        <w:rPr>
          <w:rFonts w:ascii="Arial" w:hAnsi="Arial"/>
          <w:b/>
          <w:bCs/>
          <w:color w:val="000000" w:themeColor="text1"/>
          <w:sz w:val="24"/>
          <w:szCs w:val="24"/>
        </w:rPr>
        <w:t>Priorytet nr 5.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3F68D77B" w14:textId="77777777" w:rsidR="00364E6D" w:rsidRDefault="00364E6D" w:rsidP="00364E6D">
      <w:pPr>
        <w:spacing w:after="0" w:line="240" w:lineRule="auto"/>
        <w:rPr>
          <w:rFonts w:ascii="Arial" w:hAnsi="Arial"/>
          <w:b/>
          <w:bCs/>
          <w:color w:val="000000" w:themeColor="text1"/>
          <w:sz w:val="24"/>
          <w:szCs w:val="24"/>
        </w:rPr>
      </w:pPr>
    </w:p>
    <w:p w14:paraId="341F64A6"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 xml:space="preserve">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 również zawodowego i to bez względu na wiek. W Polsce oficjalne dane mówią o tym, że na depresję choruje 1,5 miliona osób. Brak świadomości problemu oraz stygmatyzacja osób dotkniętych chorobami i zaburzeniami psychicznymi może zaburzać te statystyki i w rzeczywistości chorujących osób może być znacznie </w:t>
      </w:r>
      <w:r>
        <w:rPr>
          <w:rFonts w:ascii="Arial" w:hAnsi="Arial"/>
          <w:color w:val="000000" w:themeColor="text1"/>
          <w:sz w:val="24"/>
          <w:szCs w:val="24"/>
        </w:rPr>
        <w:lastRenderedPageBreak/>
        <w:t>więcej. Zadbanie o swój dobrostan (i swoich pracowników), zapobieganie wypaleniu zawodowemu, rozładowywanie nadmiernych napięć pozwala minimalizować rozwinięcie choroby psychicznej, dlatego tak ważna jest higiena zdrowia psychicznego, którą należy utrzymywać na co dzień. Priorytet adresowany do wszystkich pracodawców, bez względu na rodzaj i obszar prowadzonej działalności, w ramach którego można przeszkolić każdego pracownika czy pracodawcę bez względu na wykonywaną pracę. Brak jest konkretnych kryteriów dostępu tzn.  że o środki może aplikować każdy zainteresowany pracodawca. Priorytet ten oferuje wsparcie w zakresie poprawy bardzo szeroko pojętego zdrowia psychicznego w tym również szkolenia z zakresu działań go wspierających np. organizacji pracy Przykładem mogą być szkolenia z niestandardowych (elastycznych) form pracy. Szkolenia dotyczące promowania i wspierania zdrowia psychicznego oraz tworzenia przyjaznych środowisk pracy powinny obejmować szeroki zakres tematów, które pomagają zarówno menedżerom, jak i pracownikom tworzyć zdrowe, wspierające i produktywne miejsca pracy.</w:t>
      </w:r>
    </w:p>
    <w:p w14:paraId="3364FB6A"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Przykładowe obszary, które mogą znaleźć się w zakresie tematycznym szkoleń to:</w:t>
      </w:r>
    </w:p>
    <w:p w14:paraId="440DD372"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rola pracodawcy w wspieraniu zdrowia psychicznego</w:t>
      </w:r>
    </w:p>
    <w:p w14:paraId="61759042"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przyczyny i skutki stresu zawodowego, wypalenia zawodowego oraz radzenia sobie z nimi</w:t>
      </w:r>
    </w:p>
    <w:p w14:paraId="762C17A1"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skuteczna komunikacja w zespole, budowanie otwartego środowiska pracy tworzenie przyjaznego środowiska pracy</w:t>
      </w:r>
    </w:p>
    <w:p w14:paraId="14936BA9"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różnorodność w miejscu pracy, integracja pracowników wywodzących się z różnych grup pokoleniowych</w:t>
      </w:r>
    </w:p>
    <w:p w14:paraId="7695E2B8"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promowanie równowagi między życiem zawodowym a prywatnym, zdrowego stylu życia, technik relaksacyjnych i innych metod radzenia sobie ze stresem.</w:t>
      </w:r>
    </w:p>
    <w:p w14:paraId="6F27B31D" w14:textId="77777777" w:rsidR="00364E6D" w:rsidRDefault="00364E6D" w:rsidP="00364E6D">
      <w:pPr>
        <w:spacing w:after="0" w:line="240" w:lineRule="auto"/>
        <w:rPr>
          <w:color w:val="000000" w:themeColor="text1"/>
        </w:rPr>
      </w:pPr>
    </w:p>
    <w:p w14:paraId="610F4C8E" w14:textId="77777777" w:rsidR="00364E6D" w:rsidRDefault="00364E6D" w:rsidP="00364E6D">
      <w:pPr>
        <w:spacing w:after="0" w:line="240" w:lineRule="auto"/>
        <w:rPr>
          <w:rFonts w:ascii="Arial" w:hAnsi="Arial"/>
          <w:sz w:val="24"/>
          <w:szCs w:val="24"/>
        </w:rPr>
      </w:pPr>
      <w:r>
        <w:rPr>
          <w:rFonts w:ascii="Arial" w:hAnsi="Arial"/>
          <w:b/>
          <w:bCs/>
          <w:color w:val="000000" w:themeColor="text1"/>
          <w:sz w:val="24"/>
          <w:szCs w:val="24"/>
        </w:rPr>
        <w:t xml:space="preserve">Priorytet nr 6. Wsparcie cudzoziemców, w szczególności w zakresie zdobywania wiedzy na temat polskiego prawa pracy i integracji tych osób na rynku pracy </w:t>
      </w:r>
    </w:p>
    <w:p w14:paraId="22F8C884" w14:textId="77777777" w:rsidR="00364E6D" w:rsidRDefault="00364E6D" w:rsidP="00364E6D">
      <w:pPr>
        <w:spacing w:after="0" w:line="240" w:lineRule="auto"/>
        <w:rPr>
          <w:b/>
          <w:bCs/>
          <w:color w:val="000000" w:themeColor="text1"/>
        </w:rPr>
      </w:pPr>
    </w:p>
    <w:p w14:paraId="3D313D21"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 xml:space="preserve">W ramach tego priorytetu mogą być finansowane szkolenia </w:t>
      </w:r>
      <w:r>
        <w:rPr>
          <w:rFonts w:ascii="Arial" w:hAnsi="Arial"/>
          <w:b/>
          <w:bCs/>
          <w:color w:val="000000" w:themeColor="text1"/>
          <w:sz w:val="24"/>
          <w:szCs w:val="24"/>
        </w:rPr>
        <w:t>tylko dla cudzoziemców.</w:t>
      </w:r>
    </w:p>
    <w:p w14:paraId="2502F847"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Wśród specyficznych potrzeb pracowników cudzoziemskich wskazać można w szczególności:</w:t>
      </w:r>
    </w:p>
    <w:p w14:paraId="7DFB74BC"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doskonalenie znajomości języka polskiego oraz innych niezbędnych do pracy języków, szczególnie w kontekście słownictwa specyficznego dla danego zawodu / branży;</w:t>
      </w:r>
    </w:p>
    <w:p w14:paraId="32BA524C"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doskonalenie wiedzy z zakresu specyfiki polskich i unijnych regulacji dotyczących wykonywania określonego zawodu;</w:t>
      </w:r>
    </w:p>
    <w:p w14:paraId="30F40D25" w14:textId="77777777" w:rsidR="00364E6D" w:rsidRDefault="00364E6D" w:rsidP="00364E6D">
      <w:pPr>
        <w:spacing w:after="0" w:line="240" w:lineRule="auto"/>
        <w:rPr>
          <w:rFonts w:ascii="Arial" w:hAnsi="Arial"/>
          <w:sz w:val="24"/>
          <w:szCs w:val="24"/>
        </w:rPr>
      </w:pPr>
      <w:r>
        <w:rPr>
          <w:rFonts w:ascii="Arial" w:hAnsi="Arial" w:cs="Segoe UI Symbol"/>
          <w:color w:val="000000" w:themeColor="text1"/>
          <w:sz w:val="24"/>
          <w:szCs w:val="24"/>
        </w:rPr>
        <w:t>✓</w:t>
      </w:r>
      <w:r>
        <w:rPr>
          <w:rFonts w:ascii="Arial" w:hAnsi="Arial"/>
          <w:color w:val="000000" w:themeColor="text1"/>
          <w:sz w:val="24"/>
          <w:szCs w:val="24"/>
        </w:rPr>
        <w:t xml:space="preserve"> rozwój miękkich kompetencji, w tym komunikacyjnych, uwzględniających konieczność dostosowania się do kultury organizacyjnej polskich przedsiębiorstw i innych podmiotów, zatrudniających cudzoziemców.</w:t>
      </w:r>
    </w:p>
    <w:p w14:paraId="1DA90E9F"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 xml:space="preserve">Należy pamiętać, że powyższa lista nie jest katalogiem zamkniętym i każdy pracodawca może </w:t>
      </w:r>
      <w:r>
        <w:rPr>
          <w:rFonts w:ascii="Arial" w:hAnsi="Arial"/>
          <w:sz w:val="24"/>
          <w:szCs w:val="24"/>
        </w:rPr>
        <w:t>określić własną listę potrzeb.</w:t>
      </w:r>
    </w:p>
    <w:p w14:paraId="79A2BCDB" w14:textId="77777777" w:rsidR="00364E6D" w:rsidRDefault="00364E6D" w:rsidP="00364E6D">
      <w:pPr>
        <w:spacing w:after="0" w:line="240" w:lineRule="auto"/>
        <w:rPr>
          <w:rFonts w:ascii="Arial" w:hAnsi="Arial"/>
          <w:sz w:val="24"/>
          <w:szCs w:val="24"/>
        </w:rPr>
      </w:pPr>
    </w:p>
    <w:p w14:paraId="0FB20205" w14:textId="77777777" w:rsidR="00851DF8" w:rsidRDefault="00851DF8" w:rsidP="00364E6D">
      <w:pPr>
        <w:spacing w:after="0" w:line="240" w:lineRule="auto"/>
        <w:rPr>
          <w:rFonts w:ascii="Arial" w:hAnsi="Arial"/>
          <w:sz w:val="24"/>
          <w:szCs w:val="24"/>
        </w:rPr>
      </w:pPr>
    </w:p>
    <w:p w14:paraId="2A7E2597" w14:textId="77777777" w:rsidR="00851DF8" w:rsidRDefault="00851DF8" w:rsidP="00364E6D">
      <w:pPr>
        <w:spacing w:after="0" w:line="240" w:lineRule="auto"/>
        <w:rPr>
          <w:rFonts w:ascii="Arial" w:hAnsi="Arial"/>
          <w:sz w:val="24"/>
          <w:szCs w:val="24"/>
        </w:rPr>
      </w:pPr>
    </w:p>
    <w:p w14:paraId="54D359B7" w14:textId="77777777" w:rsidR="00851DF8" w:rsidRDefault="00851DF8" w:rsidP="00364E6D">
      <w:pPr>
        <w:spacing w:after="0" w:line="240" w:lineRule="auto"/>
        <w:rPr>
          <w:rFonts w:ascii="Arial" w:hAnsi="Arial"/>
          <w:sz w:val="24"/>
          <w:szCs w:val="24"/>
        </w:rPr>
      </w:pPr>
    </w:p>
    <w:p w14:paraId="73340841" w14:textId="77777777" w:rsidR="00364E6D" w:rsidRDefault="00364E6D" w:rsidP="00364E6D">
      <w:pPr>
        <w:spacing w:after="0" w:line="240" w:lineRule="auto"/>
        <w:rPr>
          <w:rFonts w:ascii="Arial" w:hAnsi="Arial"/>
          <w:sz w:val="24"/>
          <w:szCs w:val="24"/>
        </w:rPr>
      </w:pPr>
      <w:r>
        <w:rPr>
          <w:rFonts w:ascii="Arial" w:hAnsi="Arial"/>
          <w:b/>
          <w:bCs/>
          <w:color w:val="000000" w:themeColor="text1"/>
          <w:sz w:val="24"/>
          <w:szCs w:val="24"/>
        </w:rPr>
        <w:lastRenderedPageBreak/>
        <w:t>Priorytet nr 7. Wsparcie rozwoju umiejętności i kwalifikacji niezbędnych w sektorze usług zdrowotnych i opiekuńczych</w:t>
      </w:r>
    </w:p>
    <w:p w14:paraId="2E2D98A1" w14:textId="77777777" w:rsidR="00364E6D" w:rsidRDefault="00364E6D" w:rsidP="00364E6D">
      <w:pPr>
        <w:spacing w:after="0" w:line="240" w:lineRule="auto"/>
        <w:rPr>
          <w:rFonts w:ascii="Arial" w:hAnsi="Arial"/>
          <w:b/>
          <w:bCs/>
          <w:color w:val="000000" w:themeColor="text1"/>
          <w:sz w:val="24"/>
          <w:szCs w:val="24"/>
        </w:rPr>
      </w:pPr>
    </w:p>
    <w:p w14:paraId="26452B70"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Zgodnie z ustawą z dnia 15 kwietnia 2011 r. o działalności leczniczej (</w:t>
      </w:r>
      <w:proofErr w:type="spellStart"/>
      <w:r>
        <w:rPr>
          <w:rFonts w:ascii="Arial" w:hAnsi="Arial"/>
          <w:color w:val="000000" w:themeColor="text1"/>
          <w:sz w:val="24"/>
          <w:szCs w:val="24"/>
        </w:rPr>
        <w:t>t.j</w:t>
      </w:r>
      <w:proofErr w:type="spellEnd"/>
      <w:r>
        <w:rPr>
          <w:rFonts w:ascii="Arial" w:hAnsi="Arial"/>
          <w:color w:val="000000" w:themeColor="text1"/>
          <w:sz w:val="24"/>
          <w:szCs w:val="24"/>
        </w:rPr>
        <w:t>. Dz.U. z 2024 r., poz. 799)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w:t>
      </w:r>
    </w:p>
    <w:p w14:paraId="46A01E16"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Obecnie, biorąc pod uwagę stan zdrowia społeczeństwa i nasilający się proces starzenia rosną potrzeby rozwoju usług opiekuńczych i opieki zdrowotnej. Potrzeba jest coraz więcej dobrze wyszkolonych i posiadających umiejętności na wysokim poziomie osób zatrudnionych w tych sektorach. Celem wprowadzenia niniejszego priorytetu jest chęć wsparcia osób zatrudnionych w sektorze usług zdrowotnych i opiekuńczych.</w:t>
      </w:r>
    </w:p>
    <w:p w14:paraId="07AF06E4" w14:textId="77777777" w:rsidR="00364E6D" w:rsidRDefault="00364E6D" w:rsidP="00364E6D">
      <w:pPr>
        <w:spacing w:after="0" w:line="240" w:lineRule="auto"/>
        <w:rPr>
          <w:rFonts w:ascii="Arial" w:hAnsi="Arial"/>
          <w:sz w:val="24"/>
          <w:szCs w:val="24"/>
        </w:rPr>
      </w:pPr>
      <w:r>
        <w:rPr>
          <w:rFonts w:ascii="Arial" w:hAnsi="Arial"/>
          <w:b/>
          <w:bCs/>
          <w:color w:val="000000" w:themeColor="text1"/>
          <w:sz w:val="24"/>
          <w:szCs w:val="24"/>
        </w:rPr>
        <w:t xml:space="preserve">Warunkiem skorzystania z dostępnych środków jest oświadczenie pracodawcy o konieczności odbycia wnioskowanego szkolenia lub nabycia określonych umiejętności z zakresu usług zdrowotnych i opiekuńczych. Dostęp do priorytetu ma każdy pracodawca posiadający PKD  w Sekcji Q tj. Opieka zdrowotna i pomoc społeczna w działach 86 – Opieka zdrowotna, 87-Pomoc społeczna z zakwaterowaniem, 88 – Pomoc społeczna bez zakwaterowania. </w:t>
      </w:r>
      <w:r>
        <w:rPr>
          <w:rFonts w:ascii="Arial" w:hAnsi="Arial"/>
          <w:color w:val="000000" w:themeColor="text1"/>
          <w:sz w:val="24"/>
          <w:szCs w:val="24"/>
        </w:rPr>
        <w:t>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28C4CB55" w14:textId="77777777" w:rsidR="00364E6D" w:rsidRDefault="00364E6D" w:rsidP="00364E6D">
      <w:pPr>
        <w:spacing w:after="0" w:line="240" w:lineRule="auto"/>
        <w:rPr>
          <w:color w:val="000000" w:themeColor="text1"/>
          <w:u w:val="single"/>
        </w:rPr>
      </w:pPr>
    </w:p>
    <w:p w14:paraId="20B93161" w14:textId="77777777" w:rsidR="00364E6D" w:rsidRDefault="00364E6D" w:rsidP="00364E6D">
      <w:pPr>
        <w:spacing w:after="0" w:line="240" w:lineRule="auto"/>
        <w:rPr>
          <w:rFonts w:ascii="Arial" w:hAnsi="Arial"/>
          <w:sz w:val="24"/>
          <w:szCs w:val="24"/>
        </w:rPr>
      </w:pPr>
      <w:r>
        <w:rPr>
          <w:rFonts w:ascii="Arial" w:hAnsi="Arial"/>
          <w:b/>
          <w:bCs/>
          <w:color w:val="000000" w:themeColor="text1"/>
          <w:sz w:val="24"/>
          <w:szCs w:val="24"/>
        </w:rPr>
        <w:t xml:space="preserve">Priorytet nr 8. Rozwój umiejętności cyfrowych </w:t>
      </w:r>
    </w:p>
    <w:p w14:paraId="7BA8243C" w14:textId="77777777" w:rsidR="00364E6D" w:rsidRDefault="00364E6D" w:rsidP="00364E6D">
      <w:pPr>
        <w:spacing w:after="0" w:line="240" w:lineRule="auto"/>
        <w:rPr>
          <w:rFonts w:ascii="Arial" w:hAnsi="Arial"/>
          <w:b/>
          <w:bCs/>
          <w:color w:val="000000" w:themeColor="text1"/>
          <w:sz w:val="24"/>
          <w:szCs w:val="24"/>
        </w:rPr>
      </w:pPr>
    </w:p>
    <w:p w14:paraId="7C83155E" w14:textId="77777777" w:rsidR="00364E6D" w:rsidRDefault="00364E6D" w:rsidP="00364E6D">
      <w:pPr>
        <w:pStyle w:val="Akapitzlist"/>
        <w:widowControl w:val="0"/>
        <w:tabs>
          <w:tab w:val="left" w:pos="972"/>
        </w:tabs>
        <w:spacing w:before="83" w:after="0" w:line="240" w:lineRule="auto"/>
        <w:ind w:left="0"/>
        <w:contextualSpacing w:val="0"/>
        <w:jc w:val="both"/>
        <w:rPr>
          <w:rFonts w:ascii="Arial" w:hAnsi="Arial"/>
          <w:sz w:val="24"/>
          <w:szCs w:val="24"/>
        </w:rPr>
      </w:pPr>
      <w:r>
        <w:rPr>
          <w:rFonts w:ascii="Arial" w:hAnsi="Arial"/>
          <w:sz w:val="24"/>
          <w:szCs w:val="24"/>
        </w:rPr>
        <w:t>Pracodawca wnioskujący o kształcenie w ramach niniejszego priorytetu powinien wykazać, że posiadanie konkretnych umiejętności cyfrowych, które objęte są tematyką wnioskowanego szkolenia, powiązane jest z pracą wykonywaną przez osoby kierowane na szkolenie.</w:t>
      </w:r>
    </w:p>
    <w:p w14:paraId="4BD7B5DA" w14:textId="77777777" w:rsidR="00364E6D" w:rsidRDefault="00364E6D" w:rsidP="00364E6D">
      <w:pPr>
        <w:spacing w:after="0" w:line="240" w:lineRule="auto"/>
        <w:rPr>
          <w:rFonts w:ascii="Arial" w:hAnsi="Arial"/>
        </w:rPr>
      </w:pPr>
      <w:r>
        <w:rPr>
          <w:rFonts w:ascii="Arial" w:eastAsia="Times New Roman" w:hAnsi="Arial" w:cs="Arial"/>
          <w:sz w:val="24"/>
          <w:szCs w:val="24"/>
          <w:lang w:eastAsia="pl-PL"/>
        </w:rP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w:t>
      </w:r>
      <w:proofErr w:type="spellStart"/>
      <w:r>
        <w:rPr>
          <w:rFonts w:ascii="Arial" w:eastAsia="Times New Roman" w:hAnsi="Arial" w:cs="Arial"/>
          <w:sz w:val="24"/>
          <w:szCs w:val="24"/>
          <w:lang w:eastAsia="pl-PL"/>
        </w:rPr>
        <w:t>cyberbezpieczeństwem</w:t>
      </w:r>
      <w:proofErr w:type="spellEnd"/>
      <w:r>
        <w:rPr>
          <w:rFonts w:ascii="Arial" w:eastAsia="Times New Roman" w:hAnsi="Arial" w:cs="Arial"/>
          <w:sz w:val="24"/>
          <w:szCs w:val="24"/>
          <w:lang w:eastAsia="pl-PL"/>
        </w:rPr>
        <w:t>.</w:t>
      </w:r>
    </w:p>
    <w:p w14:paraId="2D684C08" w14:textId="77777777" w:rsidR="00364E6D" w:rsidRDefault="00364E6D" w:rsidP="00364E6D">
      <w:pPr>
        <w:spacing w:after="0" w:line="240" w:lineRule="auto"/>
        <w:rPr>
          <w:rFonts w:ascii="Arial" w:eastAsia="Times New Roman" w:hAnsi="Arial" w:cs="Arial"/>
          <w:sz w:val="24"/>
          <w:szCs w:val="24"/>
          <w:lang w:eastAsia="pl-PL"/>
        </w:rPr>
      </w:pPr>
    </w:p>
    <w:p w14:paraId="5C204631" w14:textId="77777777" w:rsidR="00364E6D" w:rsidRDefault="00364E6D" w:rsidP="00364E6D">
      <w:pPr>
        <w:spacing w:after="0" w:line="240" w:lineRule="auto"/>
        <w:rPr>
          <w:rFonts w:ascii="Arial" w:hAnsi="Arial"/>
          <w:sz w:val="24"/>
          <w:szCs w:val="24"/>
        </w:rPr>
      </w:pPr>
      <w:r>
        <w:rPr>
          <w:rFonts w:ascii="Arial" w:hAnsi="Arial"/>
          <w:b/>
          <w:bCs/>
          <w:color w:val="000000" w:themeColor="text1"/>
          <w:sz w:val="24"/>
          <w:szCs w:val="24"/>
        </w:rPr>
        <w:t>Priorytet nr 9. Wsparcie rozwoju umiejętności związanych z transformacją energetyczną</w:t>
      </w:r>
    </w:p>
    <w:p w14:paraId="5D31B1FF" w14:textId="77777777" w:rsidR="00364E6D" w:rsidRDefault="00364E6D" w:rsidP="00364E6D">
      <w:pPr>
        <w:spacing w:after="0" w:line="240" w:lineRule="auto"/>
        <w:rPr>
          <w:color w:val="000000" w:themeColor="text1"/>
        </w:rPr>
      </w:pPr>
    </w:p>
    <w:p w14:paraId="56866890"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 xml:space="preserve">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 W </w:t>
      </w:r>
      <w:r>
        <w:rPr>
          <w:rFonts w:ascii="Arial" w:hAnsi="Arial"/>
          <w:color w:val="000000" w:themeColor="text1"/>
          <w:sz w:val="24"/>
          <w:szCs w:val="24"/>
        </w:rPr>
        <w:lastRenderedPageBreak/>
        <w:t>Polsce ma oznaczać ona rozwój i przebudowę polskiej energetyki zgodnie z celami polityki klimatyczno-energetycznej. Przyjęto, że ma opierać się na trzech filarach:</w:t>
      </w:r>
    </w:p>
    <w:p w14:paraId="7D664FD9"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 dekarbonizacja – czyli redukcja emisji gazów cieplarnianych i rozwój OZE,</w:t>
      </w:r>
    </w:p>
    <w:p w14:paraId="59123B7B"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 decentralizacja – dotyczy odejścia od dużych elektrowni na rzecz rozproszonych odnawialnych źródeł energii o mniejszej mocy,</w:t>
      </w:r>
    </w:p>
    <w:p w14:paraId="2B80BD12" w14:textId="77777777" w:rsidR="00364E6D" w:rsidRDefault="00364E6D" w:rsidP="00364E6D">
      <w:pPr>
        <w:spacing w:after="0" w:line="240" w:lineRule="auto"/>
        <w:rPr>
          <w:rFonts w:ascii="Arial" w:hAnsi="Arial"/>
          <w:sz w:val="24"/>
          <w:szCs w:val="24"/>
        </w:rPr>
      </w:pPr>
      <w:r>
        <w:rPr>
          <w:rFonts w:ascii="Arial" w:hAnsi="Arial"/>
          <w:color w:val="000000" w:themeColor="text1"/>
          <w:sz w:val="24"/>
          <w:szCs w:val="24"/>
        </w:rPr>
        <w:t>✓ digitalizacja – to postawienie na infrastrukturę informatyczną, dzięki której możliwe będzie np. wprowadzenie taryf dynamicznych (czyli takich, w których końcowa opłata za energię jest bezpośrednio powiązana z bieżącymi cenami na hurtowym rynku energii). Priorytet niniejszy adresowany jest do wszystkich pracodawców, którzy w jakikolwiek sposób chcą przyczynić się do realizacji założonych celów transformacji energetycznej np. przejścia z energetyki tradycyjnej, na przykład węglowej, do bardziej przyjaznych środowisku źródeł energii np. wiatraków czy farm fotowoltaicznych. Będą również mogły być finansowane szkolenia mające na celu rozwój tzw. zielonych kompetencji czyli zestawu umiejętności pozwalających na działania na rzecz zrównoważonego rozwoju. W ramach tego priorytetu mogą być finansowane również szkolenia w obszarze szeroko pojętej ekologii.</w:t>
      </w:r>
    </w:p>
    <w:p w14:paraId="04E217C9" w14:textId="77777777" w:rsidR="00364E6D" w:rsidRDefault="00364E6D" w:rsidP="00364E6D">
      <w:pPr>
        <w:spacing w:after="0" w:line="240" w:lineRule="auto"/>
        <w:rPr>
          <w:rFonts w:ascii="Arial" w:hAnsi="Arial"/>
          <w:sz w:val="24"/>
          <w:szCs w:val="24"/>
        </w:rPr>
      </w:pPr>
    </w:p>
    <w:p w14:paraId="70B72EFE" w14:textId="77777777" w:rsidR="00364E6D" w:rsidRDefault="00364E6D" w:rsidP="00364E6D">
      <w:pPr>
        <w:spacing w:after="0" w:line="240" w:lineRule="auto"/>
        <w:rPr>
          <w:sz w:val="24"/>
          <w:szCs w:val="24"/>
        </w:rPr>
      </w:pPr>
      <w:r>
        <w:rPr>
          <w:rFonts w:ascii="Arial" w:hAnsi="Arial" w:cs="Lato"/>
          <w:b/>
          <w:bCs/>
          <w:color w:val="000000"/>
          <w:sz w:val="24"/>
          <w:szCs w:val="24"/>
        </w:rPr>
        <w:t>Priorytet nr 14. W</w:t>
      </w:r>
      <w:r>
        <w:rPr>
          <w:rFonts w:ascii="Arial" w:hAnsi="Arial" w:cs="Lato-Bold"/>
          <w:b/>
          <w:bCs/>
          <w:color w:val="000000" w:themeColor="text1"/>
          <w:sz w:val="24"/>
          <w:szCs w:val="24"/>
        </w:rPr>
        <w:t xml:space="preserve">sparcie rozwoju umiejętności i kwalifikacji w związku z wprowadzaniem elastycznego czasu pracy z zachowaniem poziomu wynagrodzenia lub rozpowszechnianie w firmach </w:t>
      </w:r>
      <w:proofErr w:type="spellStart"/>
      <w:r>
        <w:rPr>
          <w:rFonts w:ascii="Arial" w:hAnsi="Arial" w:cs="Lato-Bold"/>
          <w:b/>
          <w:bCs/>
          <w:color w:val="000000" w:themeColor="text1"/>
          <w:sz w:val="24"/>
          <w:szCs w:val="24"/>
        </w:rPr>
        <w:t>work</w:t>
      </w:r>
      <w:proofErr w:type="spellEnd"/>
      <w:r>
        <w:rPr>
          <w:rFonts w:ascii="Arial" w:hAnsi="Arial" w:cs="Lato-Bold"/>
          <w:b/>
          <w:bCs/>
          <w:color w:val="000000" w:themeColor="text1"/>
          <w:sz w:val="24"/>
          <w:szCs w:val="24"/>
        </w:rPr>
        <w:t xml:space="preserve">-life </w:t>
      </w:r>
      <w:proofErr w:type="spellStart"/>
      <w:r>
        <w:rPr>
          <w:rFonts w:ascii="Arial" w:hAnsi="Arial" w:cs="Lato-Bold"/>
          <w:b/>
          <w:bCs/>
          <w:color w:val="000000" w:themeColor="text1"/>
          <w:sz w:val="24"/>
          <w:szCs w:val="24"/>
        </w:rPr>
        <w:t>balance</w:t>
      </w:r>
      <w:proofErr w:type="spellEnd"/>
      <w:r>
        <w:rPr>
          <w:rFonts w:ascii="Arial" w:hAnsi="Arial" w:cs="Lato-Bold"/>
          <w:b/>
          <w:bCs/>
          <w:color w:val="000000" w:themeColor="text1"/>
          <w:sz w:val="24"/>
          <w:szCs w:val="24"/>
        </w:rPr>
        <w:t>.</w:t>
      </w:r>
    </w:p>
    <w:p w14:paraId="3E92B039" w14:textId="77777777" w:rsidR="00364E6D" w:rsidRDefault="00364E6D" w:rsidP="00364E6D">
      <w:pPr>
        <w:spacing w:beforeAutospacing="1" w:afterAutospacing="1"/>
        <w:rPr>
          <w:sz w:val="24"/>
          <w:szCs w:val="24"/>
        </w:rPr>
      </w:pPr>
      <w:r>
        <w:rPr>
          <w:rFonts w:ascii="Arial" w:hAnsi="Arial"/>
          <w:sz w:val="24"/>
          <w:szCs w:val="24"/>
        </w:rPr>
        <w:t xml:space="preserve">Priorytet adresowany do wszystkich pracodawców. W kontekście wprowadzania elastycznego czasu pracy i rozpowszechniania zasad </w:t>
      </w:r>
      <w:proofErr w:type="spellStart"/>
      <w:r>
        <w:rPr>
          <w:rFonts w:ascii="Arial" w:hAnsi="Arial"/>
          <w:sz w:val="24"/>
          <w:szCs w:val="24"/>
        </w:rPr>
        <w:t>work</w:t>
      </w:r>
      <w:proofErr w:type="spellEnd"/>
      <w:r>
        <w:rPr>
          <w:rFonts w:ascii="Arial" w:hAnsi="Arial"/>
          <w:sz w:val="24"/>
          <w:szCs w:val="24"/>
        </w:rPr>
        <w:t xml:space="preserve">-life </w:t>
      </w:r>
      <w:proofErr w:type="spellStart"/>
      <w:r>
        <w:rPr>
          <w:rFonts w:ascii="Arial" w:hAnsi="Arial"/>
          <w:sz w:val="24"/>
          <w:szCs w:val="24"/>
        </w:rPr>
        <w:t>balance</w:t>
      </w:r>
      <w:proofErr w:type="spellEnd"/>
      <w:r>
        <w:rPr>
          <w:rFonts w:ascii="Arial" w:hAnsi="Arial"/>
          <w:sz w:val="24"/>
          <w:szCs w:val="24"/>
        </w:rPr>
        <w:t>, pracodawcy mogą zaproponować różnorodne szkolenia i wsparcie dla pracowników uwzględniając w ich tematyce kilka kluczowych obszarów takich jak:</w:t>
      </w:r>
    </w:p>
    <w:p w14:paraId="1C7F4E8E" w14:textId="77777777" w:rsidR="00364E6D" w:rsidRDefault="00364E6D" w:rsidP="00364E6D">
      <w:pPr>
        <w:numPr>
          <w:ilvl w:val="0"/>
          <w:numId w:val="1"/>
        </w:numPr>
        <w:suppressAutoHyphens/>
        <w:spacing w:beforeAutospacing="1" w:after="120"/>
        <w:ind w:left="641" w:hanging="357"/>
        <w:outlineLvl w:val="2"/>
        <w:rPr>
          <w:sz w:val="24"/>
          <w:szCs w:val="24"/>
        </w:rPr>
      </w:pPr>
      <w:r>
        <w:rPr>
          <w:rFonts w:ascii="Arial" w:hAnsi="Arial"/>
          <w:sz w:val="24"/>
          <w:szCs w:val="24"/>
        </w:rPr>
        <w:t xml:space="preserve">Zarządzanie czasem i priorytetami (w tym m. in. techniki efektywnego planowania dnia pracy zdalnej lub w elastycznych godzinach, optymalizacja czasu pracy, </w:t>
      </w:r>
      <w:proofErr w:type="spellStart"/>
      <w:r>
        <w:rPr>
          <w:rFonts w:ascii="Arial" w:hAnsi="Arial"/>
          <w:sz w:val="24"/>
          <w:szCs w:val="24"/>
        </w:rPr>
        <w:t>priorytetyzacja</w:t>
      </w:r>
      <w:proofErr w:type="spellEnd"/>
      <w:r>
        <w:rPr>
          <w:rFonts w:ascii="Arial" w:hAnsi="Arial"/>
          <w:sz w:val="24"/>
          <w:szCs w:val="24"/>
        </w:rPr>
        <w:t xml:space="preserve"> zadań, zarządzanie stresem związanym z pracą elastyczną)</w:t>
      </w:r>
    </w:p>
    <w:p w14:paraId="5AF55AE0" w14:textId="77777777" w:rsidR="00364E6D" w:rsidRDefault="00364E6D" w:rsidP="00364E6D">
      <w:pPr>
        <w:numPr>
          <w:ilvl w:val="0"/>
          <w:numId w:val="1"/>
        </w:numPr>
        <w:suppressAutoHyphens/>
        <w:spacing w:after="120"/>
        <w:ind w:left="641" w:hanging="357"/>
        <w:outlineLvl w:val="2"/>
        <w:rPr>
          <w:sz w:val="24"/>
          <w:szCs w:val="24"/>
        </w:rPr>
      </w:pPr>
      <w:r>
        <w:rPr>
          <w:rFonts w:ascii="Arial" w:hAnsi="Arial"/>
          <w:sz w:val="24"/>
          <w:szCs w:val="24"/>
        </w:rPr>
        <w:t>Komunikacja w elastycznym środowisku pracy (w tym m.in. skuteczna komunikacja w zespole pracującym na odległość, budowanie zaufania i współpracy na odległość)</w:t>
      </w:r>
    </w:p>
    <w:p w14:paraId="11AC338C" w14:textId="77777777" w:rsidR="00364E6D" w:rsidRDefault="00364E6D" w:rsidP="00364E6D">
      <w:pPr>
        <w:numPr>
          <w:ilvl w:val="0"/>
          <w:numId w:val="1"/>
        </w:numPr>
        <w:suppressAutoHyphens/>
        <w:spacing w:after="120"/>
        <w:ind w:left="641" w:hanging="357"/>
        <w:outlineLvl w:val="2"/>
        <w:rPr>
          <w:sz w:val="24"/>
          <w:szCs w:val="24"/>
        </w:rPr>
      </w:pPr>
      <w:proofErr w:type="spellStart"/>
      <w:r>
        <w:rPr>
          <w:rFonts w:ascii="Arial" w:hAnsi="Arial"/>
          <w:sz w:val="24"/>
          <w:szCs w:val="24"/>
        </w:rPr>
        <w:t>Work</w:t>
      </w:r>
      <w:proofErr w:type="spellEnd"/>
      <w:r>
        <w:rPr>
          <w:rFonts w:ascii="Arial" w:hAnsi="Arial"/>
          <w:sz w:val="24"/>
          <w:szCs w:val="24"/>
        </w:rPr>
        <w:t xml:space="preserve">-life </w:t>
      </w:r>
      <w:proofErr w:type="spellStart"/>
      <w:r>
        <w:rPr>
          <w:rFonts w:ascii="Arial" w:hAnsi="Arial"/>
          <w:sz w:val="24"/>
          <w:szCs w:val="24"/>
        </w:rPr>
        <w:t>balance</w:t>
      </w:r>
      <w:proofErr w:type="spellEnd"/>
      <w:r>
        <w:rPr>
          <w:rFonts w:ascii="Arial" w:hAnsi="Arial"/>
          <w:sz w:val="24"/>
          <w:szCs w:val="24"/>
        </w:rPr>
        <w:t xml:space="preserve"> i jego znaczenie (w tym m.in. równoważenie życia zawodowego i prywatnego, istota odpoczynku i regeneracji, kultura organizacyjna a </w:t>
      </w:r>
      <w:proofErr w:type="spellStart"/>
      <w:r>
        <w:rPr>
          <w:rFonts w:ascii="Arial" w:hAnsi="Arial"/>
          <w:sz w:val="24"/>
          <w:szCs w:val="24"/>
        </w:rPr>
        <w:t>work</w:t>
      </w:r>
      <w:proofErr w:type="spellEnd"/>
      <w:r>
        <w:rPr>
          <w:rFonts w:ascii="Arial" w:hAnsi="Arial"/>
          <w:sz w:val="24"/>
          <w:szCs w:val="24"/>
        </w:rPr>
        <w:t xml:space="preserve">-life </w:t>
      </w:r>
      <w:proofErr w:type="spellStart"/>
      <w:r>
        <w:rPr>
          <w:rFonts w:ascii="Arial" w:hAnsi="Arial"/>
          <w:sz w:val="24"/>
          <w:szCs w:val="24"/>
        </w:rPr>
        <w:t>balance</w:t>
      </w:r>
      <w:proofErr w:type="spellEnd"/>
      <w:r>
        <w:rPr>
          <w:rFonts w:ascii="Arial" w:hAnsi="Arial"/>
          <w:sz w:val="24"/>
          <w:szCs w:val="24"/>
        </w:rPr>
        <w:t>)</w:t>
      </w:r>
    </w:p>
    <w:p w14:paraId="1642321E" w14:textId="77777777" w:rsidR="00364E6D" w:rsidRDefault="00364E6D" w:rsidP="00364E6D">
      <w:pPr>
        <w:numPr>
          <w:ilvl w:val="0"/>
          <w:numId w:val="1"/>
        </w:numPr>
        <w:suppressAutoHyphens/>
        <w:spacing w:after="120"/>
        <w:ind w:left="641" w:hanging="357"/>
        <w:outlineLvl w:val="2"/>
        <w:rPr>
          <w:sz w:val="24"/>
          <w:szCs w:val="24"/>
        </w:rPr>
      </w:pPr>
      <w:r>
        <w:rPr>
          <w:rFonts w:ascii="Arial" w:hAnsi="Arial"/>
          <w:sz w:val="24"/>
          <w:szCs w:val="24"/>
        </w:rPr>
        <w:t>Wykorzystanie technologii w elastycznym czasie pracy (w tym m.in. narzędzia do zarządzania czasem i projektami wspierające elastyczność i wydajność w pracy zdalnej)</w:t>
      </w:r>
    </w:p>
    <w:p w14:paraId="04895B7B" w14:textId="77777777" w:rsidR="00364E6D" w:rsidRDefault="00364E6D" w:rsidP="00364E6D">
      <w:pPr>
        <w:numPr>
          <w:ilvl w:val="0"/>
          <w:numId w:val="1"/>
        </w:numPr>
        <w:suppressAutoHyphens/>
        <w:spacing w:after="120"/>
        <w:ind w:left="641" w:hanging="357"/>
        <w:outlineLvl w:val="2"/>
        <w:rPr>
          <w:sz w:val="24"/>
          <w:szCs w:val="24"/>
        </w:rPr>
      </w:pPr>
      <w:r>
        <w:rPr>
          <w:rFonts w:ascii="Arial" w:hAnsi="Arial"/>
          <w:sz w:val="24"/>
          <w:szCs w:val="24"/>
        </w:rPr>
        <w:t>Motywowanie i wspieranie pracowników (w tym m.in. techniki motywacyjne w środowisku elastycznej pracy, programy wsparcia zdrowia psychicznego i fizycznego)</w:t>
      </w:r>
    </w:p>
    <w:p w14:paraId="2487221A" w14:textId="77777777" w:rsidR="00364E6D" w:rsidRDefault="00364E6D" w:rsidP="00364E6D">
      <w:pPr>
        <w:numPr>
          <w:ilvl w:val="0"/>
          <w:numId w:val="1"/>
        </w:numPr>
        <w:suppressAutoHyphens/>
        <w:spacing w:after="120"/>
        <w:ind w:left="641" w:hanging="357"/>
        <w:outlineLvl w:val="2"/>
        <w:rPr>
          <w:sz w:val="24"/>
          <w:szCs w:val="24"/>
        </w:rPr>
      </w:pPr>
      <w:r>
        <w:rPr>
          <w:rFonts w:ascii="Arial" w:hAnsi="Arial"/>
          <w:sz w:val="24"/>
          <w:szCs w:val="24"/>
        </w:rPr>
        <w:t>Zarządzanie efektywnością i wydajnością (w tym m.in. mierzenie wyników w elastycznym systemie pracy zdalnej, ocena efektywności pracy zdalnej)</w:t>
      </w:r>
    </w:p>
    <w:p w14:paraId="7620D35A" w14:textId="77777777" w:rsidR="00364E6D" w:rsidRDefault="00364E6D"/>
    <w:sectPr w:rsidR="00364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Lato-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C2961"/>
    <w:multiLevelType w:val="multilevel"/>
    <w:tmpl w:val="71DC9E5C"/>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num w:numId="1" w16cid:durableId="207527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6D"/>
    <w:rsid w:val="000407AF"/>
    <w:rsid w:val="00364E6D"/>
    <w:rsid w:val="0074124B"/>
    <w:rsid w:val="00851DF8"/>
    <w:rsid w:val="00A51E45"/>
    <w:rsid w:val="00AA2702"/>
    <w:rsid w:val="00AA780A"/>
    <w:rsid w:val="00C91B05"/>
    <w:rsid w:val="00D5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BC7E"/>
  <w15:chartTrackingRefBased/>
  <w15:docId w15:val="{8C7CD4C2-CE44-4F2D-9FCC-3ED4238F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4E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364E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364E6D"/>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364E6D"/>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364E6D"/>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364E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4E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4E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4E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4E6D"/>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364E6D"/>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364E6D"/>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364E6D"/>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364E6D"/>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364E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4E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4E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4E6D"/>
    <w:rPr>
      <w:rFonts w:eastAsiaTheme="majorEastAsia" w:cstheme="majorBidi"/>
      <w:color w:val="272727" w:themeColor="text1" w:themeTint="D8"/>
    </w:rPr>
  </w:style>
  <w:style w:type="paragraph" w:styleId="Tytu">
    <w:name w:val="Title"/>
    <w:basedOn w:val="Normalny"/>
    <w:next w:val="Normalny"/>
    <w:link w:val="TytuZnak"/>
    <w:uiPriority w:val="10"/>
    <w:qFormat/>
    <w:rsid w:val="00364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4E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4E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4E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4E6D"/>
    <w:pPr>
      <w:spacing w:before="160"/>
      <w:jc w:val="center"/>
    </w:pPr>
    <w:rPr>
      <w:i/>
      <w:iCs/>
      <w:color w:val="404040" w:themeColor="text1" w:themeTint="BF"/>
    </w:rPr>
  </w:style>
  <w:style w:type="character" w:customStyle="1" w:styleId="CytatZnak">
    <w:name w:val="Cytat Znak"/>
    <w:basedOn w:val="Domylnaczcionkaakapitu"/>
    <w:link w:val="Cytat"/>
    <w:uiPriority w:val="29"/>
    <w:rsid w:val="00364E6D"/>
    <w:rPr>
      <w:i/>
      <w:iCs/>
      <w:color w:val="404040" w:themeColor="text1" w:themeTint="BF"/>
    </w:rPr>
  </w:style>
  <w:style w:type="paragraph" w:styleId="Akapitzlist">
    <w:name w:val="List Paragraph"/>
    <w:basedOn w:val="Normalny"/>
    <w:link w:val="AkapitzlistZnak"/>
    <w:uiPriority w:val="34"/>
    <w:qFormat/>
    <w:rsid w:val="00364E6D"/>
    <w:pPr>
      <w:ind w:left="720"/>
      <w:contextualSpacing/>
    </w:pPr>
  </w:style>
  <w:style w:type="character" w:styleId="Wyrnienieintensywne">
    <w:name w:val="Intense Emphasis"/>
    <w:basedOn w:val="Domylnaczcionkaakapitu"/>
    <w:uiPriority w:val="21"/>
    <w:qFormat/>
    <w:rsid w:val="00364E6D"/>
    <w:rPr>
      <w:i/>
      <w:iCs/>
      <w:color w:val="2E74B5" w:themeColor="accent1" w:themeShade="BF"/>
    </w:rPr>
  </w:style>
  <w:style w:type="paragraph" w:styleId="Cytatintensywny">
    <w:name w:val="Intense Quote"/>
    <w:basedOn w:val="Normalny"/>
    <w:next w:val="Normalny"/>
    <w:link w:val="CytatintensywnyZnak"/>
    <w:uiPriority w:val="30"/>
    <w:qFormat/>
    <w:rsid w:val="00364E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364E6D"/>
    <w:rPr>
      <w:i/>
      <w:iCs/>
      <w:color w:val="2E74B5" w:themeColor="accent1" w:themeShade="BF"/>
    </w:rPr>
  </w:style>
  <w:style w:type="character" w:styleId="Odwoanieintensywne">
    <w:name w:val="Intense Reference"/>
    <w:basedOn w:val="Domylnaczcionkaakapitu"/>
    <w:uiPriority w:val="32"/>
    <w:qFormat/>
    <w:rsid w:val="00364E6D"/>
    <w:rPr>
      <w:b/>
      <w:bCs/>
      <w:smallCaps/>
      <w:color w:val="2E74B5" w:themeColor="accent1" w:themeShade="BF"/>
      <w:spacing w:val="5"/>
    </w:rPr>
  </w:style>
  <w:style w:type="character" w:customStyle="1" w:styleId="AkapitzlistZnak">
    <w:name w:val="Akapit z listą Znak"/>
    <w:link w:val="Akapitzlist"/>
    <w:uiPriority w:val="34"/>
    <w:qFormat/>
    <w:locked/>
    <w:rsid w:val="00364E6D"/>
  </w:style>
  <w:style w:type="character" w:styleId="Hipercze">
    <w:name w:val="Hyperlink"/>
    <w:basedOn w:val="Domylnaczcionkaakapitu"/>
    <w:uiPriority w:val="99"/>
    <w:unhideWhenUsed/>
    <w:rsid w:val="000407AF"/>
    <w:rPr>
      <w:color w:val="0563C1" w:themeColor="hyperlink"/>
      <w:u w:val="single"/>
    </w:rPr>
  </w:style>
  <w:style w:type="character" w:styleId="Nierozpoznanawzmianka">
    <w:name w:val="Unresolved Mention"/>
    <w:basedOn w:val="Domylnaczcionkaakapitu"/>
    <w:uiPriority w:val="99"/>
    <w:semiHidden/>
    <w:unhideWhenUsed/>
    <w:rsid w:val="0004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rometrzawod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2091</Words>
  <Characters>12546</Characters>
  <Application>Microsoft Office Word</Application>
  <DocSecurity>0</DocSecurity>
  <Lines>104</Lines>
  <Paragraphs>29</Paragraphs>
  <ScaleCrop>false</ScaleCrop>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KorgaAndrzej</dc:creator>
  <cp:keywords/>
  <dc:description/>
  <cp:lastModifiedBy>KorgaAndrzej</cp:lastModifiedBy>
  <cp:revision>3</cp:revision>
  <dcterms:created xsi:type="dcterms:W3CDTF">2025-10-16T13:15:00Z</dcterms:created>
  <dcterms:modified xsi:type="dcterms:W3CDTF">2025-10-17T06:00:00Z</dcterms:modified>
</cp:coreProperties>
</file>